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y9iww3zzk8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Worksheet on Fashion and Water (handout)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reflection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often do you buy new clothes, and do you ever think about how much water was used to make them?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Environmental reflections: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might the water for cotton fields or dyeing factories come from? (Rain, rivers, groundwater?)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could happen to rivers, lakes, or wetlands if huge amounts of water are diverted for textile production?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water is overused for fashion in one country, how might this affect the plants and animals living there?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Societal reflections: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might communities living near textile factories be affected when water is scarce or polluted?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one pair of jeans uses thousands of litres of water, who do you think should take responsibility — consumers, brands, or governments? Why?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Critical reflections: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alternatives to cotton or traditional dyeing could reduce water use in fashion? (e.g., hemp, recycled fibres, digital printing)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Imagine the fashion industry in 2050. If water scarcity becomes even more serious, how might fashion production and clothing habits change?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